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57809B9" w14:textId="13818D0A" w:rsidR="008E39B4" w:rsidRPr="007C41AC" w:rsidRDefault="00F8187A" w:rsidP="00C068EB">
            <w:pPr>
              <w:rPr>
                <w:rFonts w:cstheme="minorHAnsi"/>
                <w:color w:val="000000" w:themeColor="text1"/>
                <w:sz w:val="24"/>
                <w:szCs w:val="24"/>
              </w:rPr>
            </w:pPr>
            <w:r w:rsidRPr="007C41AC">
              <w:rPr>
                <w:rFonts w:ascii="QglydyArialMT" w:hAnsi="QglydyArialMT" w:cs="QglydyArialMT"/>
                <w:color w:val="000000" w:themeColor="text1"/>
                <w:sz w:val="24"/>
                <w:szCs w:val="24"/>
              </w:rPr>
              <w:t xml:space="preserve">4.1.6 </w:t>
            </w:r>
            <w:r w:rsidRPr="007C41AC">
              <w:rPr>
                <w:rFonts w:ascii="TspgfgAQAChevinPro-Medium" w:hAnsi="TspgfgAQAChevinPro-Medium" w:cs="TspgfgAQAChevinPro-Medium"/>
                <w:color w:val="000000" w:themeColor="text1"/>
                <w:sz w:val="24"/>
                <w:szCs w:val="24"/>
              </w:rPr>
              <w:t>The labour market</w:t>
            </w: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60F8DB77" w:rsidR="001F7779" w:rsidRPr="001F7779" w:rsidRDefault="007C41AC" w:rsidP="00FE54CF">
            <w:pPr>
              <w:rPr>
                <w:rFonts w:cstheme="minorHAnsi"/>
              </w:rPr>
            </w:pPr>
            <w:r>
              <w:rPr>
                <w:rFonts w:cstheme="minorHAnsi"/>
              </w:rPr>
              <w:t xml:space="preserve">Students must now understand how changes in demand and supply will impact the requirement for labour and pressure on wages. Students must compare the costs of the business and the benefit that additional workers may bring and assess a businesses decision making process.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45DA635B" w14:textId="6018344E" w:rsidR="001F7779" w:rsidRDefault="001F7779" w:rsidP="005D49C7">
            <w:pPr>
              <w:rPr>
                <w:rFonts w:cstheme="minorHAnsi"/>
                <w:color w:val="000000" w:themeColor="text1"/>
                <w:sz w:val="20"/>
                <w:szCs w:val="20"/>
              </w:rPr>
            </w:pPr>
          </w:p>
          <w:p w14:paraId="1B9B913E" w14:textId="77777777" w:rsidR="007C41AC" w:rsidRDefault="007C41AC" w:rsidP="005D49C7">
            <w:pPr>
              <w:rPr>
                <w:rFonts w:cstheme="minorHAnsi"/>
                <w:color w:val="000000" w:themeColor="text1"/>
                <w:sz w:val="20"/>
                <w:szCs w:val="20"/>
              </w:rPr>
            </w:pPr>
          </w:p>
          <w:p w14:paraId="492E6B1E" w14:textId="77777777" w:rsidR="007C41AC" w:rsidRDefault="007C41AC" w:rsidP="005D49C7">
            <w:pPr>
              <w:rPr>
                <w:rFonts w:cstheme="minorHAnsi"/>
                <w:color w:val="000000" w:themeColor="text1"/>
                <w:sz w:val="20"/>
                <w:szCs w:val="20"/>
              </w:rPr>
            </w:pPr>
            <w:r>
              <w:rPr>
                <w:rFonts w:cstheme="minorHAnsi"/>
                <w:color w:val="000000" w:themeColor="text1"/>
                <w:sz w:val="20"/>
                <w:szCs w:val="20"/>
              </w:rPr>
              <w:t xml:space="preserve">Labour </w:t>
            </w:r>
          </w:p>
          <w:p w14:paraId="121CA92A" w14:textId="64FDB2CE" w:rsidR="007C41AC" w:rsidRDefault="007C41AC" w:rsidP="005D49C7">
            <w:pPr>
              <w:rPr>
                <w:rFonts w:cstheme="minorHAnsi"/>
                <w:color w:val="000000" w:themeColor="text1"/>
                <w:sz w:val="20"/>
                <w:szCs w:val="20"/>
              </w:rPr>
            </w:pPr>
          </w:p>
          <w:p w14:paraId="73C177A7" w14:textId="77777777" w:rsidR="007C41AC" w:rsidRDefault="007C41AC" w:rsidP="005D49C7">
            <w:pPr>
              <w:rPr>
                <w:rFonts w:cstheme="minorHAnsi"/>
                <w:color w:val="000000" w:themeColor="text1"/>
                <w:sz w:val="20"/>
                <w:szCs w:val="20"/>
              </w:rPr>
            </w:pPr>
          </w:p>
          <w:p w14:paraId="4FB429C6" w14:textId="77777777" w:rsidR="007C41AC" w:rsidRDefault="007C41AC" w:rsidP="005D49C7">
            <w:pPr>
              <w:rPr>
                <w:rFonts w:cstheme="minorHAnsi"/>
                <w:color w:val="000000" w:themeColor="text1"/>
                <w:sz w:val="20"/>
                <w:szCs w:val="20"/>
              </w:rPr>
            </w:pPr>
            <w:r>
              <w:rPr>
                <w:rFonts w:cstheme="minorHAnsi"/>
                <w:color w:val="000000" w:themeColor="text1"/>
                <w:sz w:val="20"/>
                <w:szCs w:val="20"/>
              </w:rPr>
              <w:t xml:space="preserve">Marginal productivity theory </w:t>
            </w:r>
          </w:p>
          <w:p w14:paraId="7686FF92" w14:textId="42D5A2ED" w:rsidR="007C41AC" w:rsidRDefault="007C41AC" w:rsidP="005D49C7">
            <w:pPr>
              <w:rPr>
                <w:rFonts w:cstheme="minorHAnsi"/>
                <w:color w:val="000000" w:themeColor="text1"/>
                <w:sz w:val="20"/>
                <w:szCs w:val="20"/>
              </w:rPr>
            </w:pPr>
            <w:r>
              <w:t>monopsony power</w:t>
            </w:r>
          </w:p>
          <w:p w14:paraId="639EFA85" w14:textId="77777777" w:rsidR="007C41AC" w:rsidRDefault="007C41AC" w:rsidP="005D49C7">
            <w:pPr>
              <w:rPr>
                <w:rFonts w:cstheme="minorHAnsi"/>
                <w:color w:val="000000" w:themeColor="text1"/>
                <w:sz w:val="20"/>
                <w:szCs w:val="20"/>
              </w:rPr>
            </w:pPr>
          </w:p>
          <w:p w14:paraId="03AD7734" w14:textId="77777777" w:rsidR="007C41AC" w:rsidRDefault="007C41AC" w:rsidP="005D49C7">
            <w:pPr>
              <w:rPr>
                <w:rFonts w:cstheme="minorHAnsi"/>
                <w:color w:val="000000" w:themeColor="text1"/>
                <w:sz w:val="20"/>
                <w:szCs w:val="20"/>
              </w:rPr>
            </w:pPr>
            <w:r>
              <w:rPr>
                <w:rFonts w:cstheme="minorHAnsi"/>
                <w:color w:val="000000" w:themeColor="text1"/>
                <w:sz w:val="20"/>
                <w:szCs w:val="20"/>
              </w:rPr>
              <w:t xml:space="preserve">Minimum wage and relative living wage </w:t>
            </w:r>
          </w:p>
          <w:p w14:paraId="36CA39CA" w14:textId="62EEA724" w:rsidR="007C41AC" w:rsidRDefault="007C41AC" w:rsidP="005D49C7">
            <w:pPr>
              <w:rPr>
                <w:rFonts w:cstheme="minorHAnsi"/>
                <w:color w:val="000000" w:themeColor="text1"/>
                <w:sz w:val="20"/>
                <w:szCs w:val="20"/>
              </w:rPr>
            </w:pPr>
          </w:p>
          <w:p w14:paraId="788EE92A" w14:textId="4FD1EA2A" w:rsidR="007C41AC" w:rsidRDefault="007C41AC" w:rsidP="005D49C7">
            <w:r>
              <w:t>monopsony labour market,</w:t>
            </w:r>
          </w:p>
          <w:p w14:paraId="43112E71" w14:textId="77777777" w:rsidR="007C41AC" w:rsidRDefault="007C41AC" w:rsidP="005D49C7">
            <w:pPr>
              <w:rPr>
                <w:rFonts w:cstheme="minorHAnsi"/>
                <w:color w:val="000000" w:themeColor="text1"/>
                <w:sz w:val="20"/>
                <w:szCs w:val="20"/>
              </w:rPr>
            </w:pPr>
          </w:p>
          <w:p w14:paraId="0D107942" w14:textId="77777777" w:rsidR="007C41AC" w:rsidRDefault="007C41AC" w:rsidP="005D49C7">
            <w:pPr>
              <w:rPr>
                <w:rFonts w:cstheme="minorHAnsi"/>
                <w:color w:val="000000" w:themeColor="text1"/>
                <w:sz w:val="20"/>
                <w:szCs w:val="20"/>
              </w:rPr>
            </w:pPr>
            <w:r>
              <w:rPr>
                <w:rFonts w:cstheme="minorHAnsi"/>
                <w:color w:val="000000" w:themeColor="text1"/>
                <w:sz w:val="20"/>
                <w:szCs w:val="20"/>
              </w:rPr>
              <w:t xml:space="preserve">Trade unions </w:t>
            </w:r>
          </w:p>
          <w:p w14:paraId="018AB297" w14:textId="77777777" w:rsidR="007C41AC" w:rsidRDefault="007C41AC" w:rsidP="005D49C7">
            <w:pPr>
              <w:rPr>
                <w:rFonts w:cstheme="minorHAnsi"/>
                <w:color w:val="000000" w:themeColor="text1"/>
                <w:sz w:val="20"/>
                <w:szCs w:val="20"/>
              </w:rPr>
            </w:pPr>
          </w:p>
          <w:p w14:paraId="43E949D4" w14:textId="77777777" w:rsidR="007C41AC" w:rsidRDefault="007C41AC" w:rsidP="005D49C7">
            <w:pPr>
              <w:rPr>
                <w:rFonts w:cstheme="minorHAnsi"/>
                <w:color w:val="000000" w:themeColor="text1"/>
                <w:sz w:val="20"/>
                <w:szCs w:val="20"/>
              </w:rPr>
            </w:pPr>
            <w:r>
              <w:rPr>
                <w:rFonts w:cstheme="minorHAnsi"/>
                <w:color w:val="000000" w:themeColor="text1"/>
                <w:sz w:val="20"/>
                <w:szCs w:val="20"/>
              </w:rPr>
              <w:t xml:space="preserve">Trade power </w:t>
            </w:r>
          </w:p>
          <w:p w14:paraId="23BB6288" w14:textId="77777777" w:rsidR="007C41AC" w:rsidRDefault="007C41AC" w:rsidP="005D49C7">
            <w:pPr>
              <w:rPr>
                <w:rFonts w:cstheme="minorHAnsi"/>
                <w:color w:val="000000" w:themeColor="text1"/>
                <w:sz w:val="20"/>
                <w:szCs w:val="20"/>
              </w:rPr>
            </w:pPr>
            <w:r>
              <w:rPr>
                <w:rFonts w:cstheme="minorHAnsi"/>
                <w:color w:val="000000" w:themeColor="text1"/>
                <w:sz w:val="20"/>
                <w:szCs w:val="20"/>
              </w:rPr>
              <w:t xml:space="preserve">Labour surplus </w:t>
            </w:r>
          </w:p>
          <w:p w14:paraId="49147324" w14:textId="19D53768" w:rsidR="007C41AC" w:rsidRPr="00811F13" w:rsidRDefault="007C41AC" w:rsidP="005D49C7">
            <w:pPr>
              <w:rPr>
                <w:rFonts w:cstheme="minorHAnsi"/>
                <w:color w:val="000000" w:themeColor="text1"/>
                <w:sz w:val="20"/>
                <w:szCs w:val="20"/>
              </w:rPr>
            </w:pPr>
          </w:p>
        </w:tc>
      </w:tr>
      <w:tr w:rsidR="008E39B4" w:rsidRPr="00F9765D" w14:paraId="70713B32" w14:textId="77777777" w:rsidTr="001F7779">
        <w:trPr>
          <w:trHeight w:val="3308"/>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2B236F36" w14:textId="096E2690" w:rsidR="00C068EB" w:rsidRPr="007C41AC" w:rsidRDefault="00F8187A" w:rsidP="0070384C">
            <w:pPr>
              <w:pStyle w:val="ListParagraph"/>
              <w:ind w:left="1214"/>
              <w:rPr>
                <w:rFonts w:ascii="TspgfgAQAChevinPro-Medium" w:hAnsi="TspgfgAQAChevinPro-Medium" w:cs="TspgfgAQAChevinPro-Medium"/>
                <w:color w:val="000000" w:themeColor="text1"/>
                <w:sz w:val="24"/>
                <w:szCs w:val="24"/>
              </w:rPr>
            </w:pPr>
            <w:r w:rsidRPr="007C41AC">
              <w:rPr>
                <w:rFonts w:ascii="QglydyArialMT" w:hAnsi="QglydyArialMT" w:cs="QglydyArialMT"/>
                <w:color w:val="000000" w:themeColor="text1"/>
                <w:sz w:val="24"/>
                <w:szCs w:val="24"/>
              </w:rPr>
              <w:t xml:space="preserve">4.1.6.1 </w:t>
            </w:r>
            <w:r w:rsidRPr="007C41AC">
              <w:rPr>
                <w:rFonts w:ascii="TspgfgAQAChevinPro-Medium" w:hAnsi="TspgfgAQAChevinPro-Medium" w:cs="TspgfgAQAChevinPro-Medium"/>
                <w:color w:val="000000" w:themeColor="text1"/>
                <w:sz w:val="24"/>
                <w:szCs w:val="24"/>
              </w:rPr>
              <w:t>The demand for labour, marginal productivity theory</w:t>
            </w:r>
          </w:p>
          <w:p w14:paraId="0E102A2C" w14:textId="77777777" w:rsidR="00F8187A" w:rsidRPr="007C41AC" w:rsidRDefault="00F8187A" w:rsidP="00F8187A">
            <w:pPr>
              <w:pStyle w:val="ListParagraph"/>
              <w:ind w:left="1214"/>
              <w:rPr>
                <w:rFonts w:ascii="TspgfgAQAChevinPro-Medium" w:hAnsi="TspgfgAQAChevinPro-Medium" w:cs="TspgfgAQAChevinPro-Medium"/>
                <w:color w:val="000000" w:themeColor="text1"/>
                <w:sz w:val="24"/>
                <w:szCs w:val="24"/>
              </w:rPr>
            </w:pPr>
            <w:r w:rsidRPr="007C41AC">
              <w:rPr>
                <w:rFonts w:ascii="QglydyArialMT" w:hAnsi="QglydyArialMT" w:cs="QglydyArialMT"/>
                <w:color w:val="000000" w:themeColor="text1"/>
                <w:sz w:val="24"/>
                <w:szCs w:val="24"/>
              </w:rPr>
              <w:t xml:space="preserve">4.1.6.2 </w:t>
            </w:r>
            <w:r w:rsidRPr="007C41AC">
              <w:rPr>
                <w:rFonts w:ascii="WdwxbnAQAChevinPro-Medium" w:hAnsi="WdwxbnAQAChevinPro-Medium" w:cs="WdwxbnAQAChevinPro-Medium"/>
                <w:color w:val="000000" w:themeColor="text1"/>
                <w:sz w:val="24"/>
                <w:szCs w:val="24"/>
              </w:rPr>
              <w:t xml:space="preserve">Influences </w:t>
            </w:r>
            <w:r w:rsidRPr="007C41AC">
              <w:rPr>
                <w:rFonts w:ascii="TspgfgAQAChevinPro-Medium" w:hAnsi="TspgfgAQAChevinPro-Medium" w:cs="TspgfgAQAChevinPro-Medium"/>
                <w:color w:val="000000" w:themeColor="text1"/>
                <w:sz w:val="24"/>
                <w:szCs w:val="24"/>
              </w:rPr>
              <w:t>upon the supply of labour to different markets</w:t>
            </w:r>
          </w:p>
          <w:p w14:paraId="59CBBC06" w14:textId="77777777" w:rsidR="00F8187A" w:rsidRPr="007C41AC" w:rsidRDefault="00F8187A" w:rsidP="00F8187A">
            <w:pPr>
              <w:pStyle w:val="ListParagraph"/>
              <w:ind w:left="1214"/>
              <w:rPr>
                <w:rFonts w:ascii="TspgfgAQAChevinPro-Medium" w:hAnsi="TspgfgAQAChevinPro-Medium" w:cs="TspgfgAQAChevinPro-Medium"/>
                <w:color w:val="000000" w:themeColor="text1"/>
                <w:sz w:val="24"/>
                <w:szCs w:val="24"/>
              </w:rPr>
            </w:pPr>
            <w:r w:rsidRPr="007C41AC">
              <w:rPr>
                <w:rFonts w:ascii="QglydyArialMT" w:hAnsi="QglydyArialMT" w:cs="QglydyArialMT"/>
                <w:color w:val="000000" w:themeColor="text1"/>
                <w:sz w:val="24"/>
                <w:szCs w:val="24"/>
              </w:rPr>
              <w:t xml:space="preserve">4.1.6.3 </w:t>
            </w:r>
            <w:r w:rsidRPr="007C41AC">
              <w:rPr>
                <w:rFonts w:ascii="TspgfgAQAChevinPro-Medium" w:hAnsi="TspgfgAQAChevinPro-Medium" w:cs="TspgfgAQAChevinPro-Medium"/>
                <w:color w:val="000000" w:themeColor="text1"/>
                <w:sz w:val="24"/>
                <w:szCs w:val="24"/>
              </w:rPr>
              <w:t>The determination of relative wage rates and levels of employment in perfectly competitive labour markets</w:t>
            </w:r>
          </w:p>
          <w:p w14:paraId="46ABDA12" w14:textId="3296AF31" w:rsidR="00F8187A" w:rsidRPr="007C41AC" w:rsidRDefault="00F8187A" w:rsidP="00F8187A">
            <w:pPr>
              <w:pStyle w:val="ListParagraph"/>
              <w:ind w:left="1214"/>
              <w:rPr>
                <w:rFonts w:ascii="TspgfgAQAChevinPro-Medium" w:hAnsi="TspgfgAQAChevinPro-Medium" w:cs="TspgfgAQAChevinPro-Medium"/>
                <w:color w:val="000000" w:themeColor="text1"/>
                <w:sz w:val="24"/>
                <w:szCs w:val="24"/>
              </w:rPr>
            </w:pPr>
            <w:r w:rsidRPr="007C41AC">
              <w:rPr>
                <w:rFonts w:ascii="QglydyArialMT" w:hAnsi="QglydyArialMT" w:cs="QglydyArialMT"/>
                <w:color w:val="000000" w:themeColor="text1"/>
                <w:sz w:val="24"/>
                <w:szCs w:val="24"/>
              </w:rPr>
              <w:t xml:space="preserve">4.1.6.4 </w:t>
            </w:r>
            <w:r w:rsidRPr="007C41AC">
              <w:rPr>
                <w:rFonts w:ascii="TspgfgAQAChevinPro-Medium" w:hAnsi="TspgfgAQAChevinPro-Medium" w:cs="TspgfgAQAChevinPro-Medium"/>
                <w:color w:val="000000" w:themeColor="text1"/>
                <w:sz w:val="24"/>
                <w:szCs w:val="24"/>
              </w:rPr>
              <w:t>The determination of relative wage rates and levels of employment in</w:t>
            </w:r>
          </w:p>
          <w:p w14:paraId="73DF4727" w14:textId="77F9081F" w:rsidR="00F8187A" w:rsidRPr="007C41AC" w:rsidRDefault="00F8187A" w:rsidP="00F8187A">
            <w:pPr>
              <w:pStyle w:val="ListParagraph"/>
              <w:ind w:left="1214"/>
              <w:rPr>
                <w:rFonts w:ascii="TspgfgAQAChevinPro-Medium" w:hAnsi="TspgfgAQAChevinPro-Medium" w:cs="TspgfgAQAChevinPro-Medium"/>
                <w:color w:val="000000" w:themeColor="text1"/>
                <w:sz w:val="24"/>
                <w:szCs w:val="24"/>
              </w:rPr>
            </w:pPr>
            <w:r w:rsidRPr="007C41AC">
              <w:rPr>
                <w:rFonts w:ascii="TspgfgAQAChevinPro-Medium" w:hAnsi="TspgfgAQAChevinPro-Medium" w:cs="TspgfgAQAChevinPro-Medium"/>
                <w:color w:val="000000" w:themeColor="text1"/>
                <w:sz w:val="24"/>
                <w:szCs w:val="24"/>
              </w:rPr>
              <w:t>imperfectly competitive labour markets</w:t>
            </w:r>
          </w:p>
          <w:p w14:paraId="27B97437" w14:textId="048CEB72" w:rsidR="00F8187A" w:rsidRPr="007C41AC" w:rsidRDefault="00F8187A" w:rsidP="00F8187A">
            <w:pPr>
              <w:pStyle w:val="ListParagraph"/>
              <w:ind w:left="1214"/>
              <w:rPr>
                <w:rFonts w:ascii="TspgfgAQAChevinPro-Medium" w:hAnsi="TspgfgAQAChevinPro-Medium" w:cs="TspgfgAQAChevinPro-Medium"/>
                <w:color w:val="000000" w:themeColor="text1"/>
                <w:sz w:val="24"/>
                <w:szCs w:val="24"/>
              </w:rPr>
            </w:pPr>
            <w:r w:rsidRPr="007C41AC">
              <w:rPr>
                <w:rFonts w:ascii="QglydyArialMT" w:hAnsi="QglydyArialMT" w:cs="QglydyArialMT"/>
                <w:color w:val="000000" w:themeColor="text1"/>
                <w:sz w:val="24"/>
                <w:szCs w:val="24"/>
              </w:rPr>
              <w:t xml:space="preserve">4.1.6.5 </w:t>
            </w:r>
            <w:r w:rsidRPr="007C41AC">
              <w:rPr>
                <w:rFonts w:ascii="TspgfgAQAChevinPro-Medium" w:hAnsi="TspgfgAQAChevinPro-Medium" w:cs="TspgfgAQAChevinPro-Medium"/>
                <w:color w:val="000000" w:themeColor="text1"/>
                <w:sz w:val="24"/>
                <w:szCs w:val="24"/>
              </w:rPr>
              <w:t xml:space="preserve">The </w:t>
            </w:r>
            <w:r w:rsidRPr="007C41AC">
              <w:rPr>
                <w:rFonts w:ascii="WdwxbnAQAChevinPro-Medium" w:hAnsi="WdwxbnAQAChevinPro-Medium" w:cs="WdwxbnAQAChevinPro-Medium"/>
                <w:color w:val="000000" w:themeColor="text1"/>
                <w:sz w:val="24"/>
                <w:szCs w:val="24"/>
              </w:rPr>
              <w:t xml:space="preserve">Influence </w:t>
            </w:r>
            <w:r w:rsidRPr="007C41AC">
              <w:rPr>
                <w:rFonts w:ascii="TspgfgAQAChevinPro-Medium" w:hAnsi="TspgfgAQAChevinPro-Medium" w:cs="TspgfgAQAChevinPro-Medium"/>
                <w:color w:val="000000" w:themeColor="text1"/>
                <w:sz w:val="24"/>
                <w:szCs w:val="24"/>
              </w:rPr>
              <w:t>of trade unions in determining wages and levels of employment</w:t>
            </w:r>
          </w:p>
          <w:p w14:paraId="2D311AA1" w14:textId="3F6D10A5" w:rsidR="00F8187A" w:rsidRPr="007C41AC" w:rsidRDefault="00F8187A" w:rsidP="00F8187A">
            <w:pPr>
              <w:pStyle w:val="ListParagraph"/>
              <w:ind w:left="1214"/>
              <w:rPr>
                <w:rFonts w:ascii="TspgfgAQAChevinPro-Medium" w:hAnsi="TspgfgAQAChevinPro-Medium" w:cs="TspgfgAQAChevinPro-Medium"/>
                <w:color w:val="000000" w:themeColor="text1"/>
                <w:sz w:val="24"/>
                <w:szCs w:val="24"/>
              </w:rPr>
            </w:pPr>
            <w:r w:rsidRPr="007C41AC">
              <w:rPr>
                <w:rFonts w:ascii="QglydyArialMT" w:hAnsi="QglydyArialMT" w:cs="QglydyArialMT"/>
                <w:color w:val="000000" w:themeColor="text1"/>
                <w:sz w:val="24"/>
                <w:szCs w:val="24"/>
              </w:rPr>
              <w:t xml:space="preserve">4.1.6.6 </w:t>
            </w:r>
            <w:r w:rsidRPr="007C41AC">
              <w:rPr>
                <w:rFonts w:ascii="TspgfgAQAChevinPro-Medium" w:hAnsi="TspgfgAQAChevinPro-Medium" w:cs="TspgfgAQAChevinPro-Medium"/>
                <w:color w:val="000000" w:themeColor="text1"/>
                <w:sz w:val="24"/>
                <w:szCs w:val="24"/>
              </w:rPr>
              <w:t>The National Minimum Wage</w:t>
            </w:r>
          </w:p>
          <w:p w14:paraId="5624522C" w14:textId="75A65899" w:rsidR="00F8187A" w:rsidRPr="007C41AC" w:rsidRDefault="00F8187A" w:rsidP="00F8187A">
            <w:pPr>
              <w:pStyle w:val="ListParagraph"/>
              <w:ind w:left="1214"/>
              <w:rPr>
                <w:rFonts w:ascii="TspgfgAQAChevinPro-Medium" w:hAnsi="TspgfgAQAChevinPro-Medium" w:cs="TspgfgAQAChevinPro-Medium"/>
                <w:color w:val="000000" w:themeColor="text1"/>
                <w:sz w:val="24"/>
                <w:szCs w:val="24"/>
              </w:rPr>
            </w:pPr>
            <w:r w:rsidRPr="007C41AC">
              <w:rPr>
                <w:rFonts w:ascii="QglydyArialMT" w:hAnsi="QglydyArialMT" w:cs="QglydyArialMT"/>
                <w:color w:val="000000" w:themeColor="text1"/>
                <w:sz w:val="24"/>
                <w:szCs w:val="24"/>
              </w:rPr>
              <w:t xml:space="preserve">4.1.6.7 </w:t>
            </w:r>
            <w:r w:rsidRPr="007C41AC">
              <w:rPr>
                <w:rFonts w:ascii="TspgfgAQAChevinPro-Medium" w:hAnsi="TspgfgAQAChevinPro-Medium" w:cs="TspgfgAQAChevinPro-Medium"/>
                <w:color w:val="000000" w:themeColor="text1"/>
                <w:sz w:val="24"/>
                <w:szCs w:val="24"/>
              </w:rPr>
              <w:t>Discrimination in the labour market</w:t>
            </w:r>
          </w:p>
          <w:p w14:paraId="3BB9676F" w14:textId="77777777" w:rsidR="00F8187A" w:rsidRPr="007C41AC" w:rsidRDefault="00F8187A" w:rsidP="00F8187A">
            <w:pPr>
              <w:pStyle w:val="ListParagraph"/>
              <w:ind w:left="1214"/>
              <w:rPr>
                <w:rFonts w:ascii="TspgfgAQAChevinPro-Medium" w:hAnsi="TspgfgAQAChevinPro-Medium" w:cs="TspgfgAQAChevinPro-Medium"/>
                <w:color w:val="000000" w:themeColor="text1"/>
                <w:sz w:val="24"/>
                <w:szCs w:val="24"/>
              </w:rPr>
            </w:pPr>
          </w:p>
          <w:p w14:paraId="704CD9BE" w14:textId="248C0834" w:rsidR="00F8187A" w:rsidRPr="005D49C7" w:rsidRDefault="00F8187A" w:rsidP="0070384C">
            <w:pPr>
              <w:pStyle w:val="ListParagraph"/>
              <w:ind w:left="1214"/>
              <w:rPr>
                <w:rFonts w:cstheme="minorHAnsi"/>
                <w:color w:val="000000" w:themeColor="text1"/>
              </w:rPr>
            </w:pP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1F7779">
        <w:trPr>
          <w:trHeight w:val="2816"/>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769E2609" w14:textId="77777777" w:rsidR="007C41AC" w:rsidRDefault="007C41AC" w:rsidP="007C41AC">
            <w:pPr>
              <w:rPr>
                <w:rFonts w:cstheme="minorHAnsi"/>
                <w:b/>
                <w:bCs/>
                <w:color w:val="522A5B"/>
                <w:sz w:val="24"/>
                <w:szCs w:val="24"/>
                <w:u w:val="single"/>
              </w:rPr>
            </w:pPr>
            <w:r>
              <w:rPr>
                <w:rFonts w:cstheme="minorHAnsi"/>
                <w:b/>
                <w:bCs/>
                <w:color w:val="522A5B"/>
                <w:sz w:val="24"/>
                <w:szCs w:val="24"/>
                <w:u w:val="single"/>
              </w:rPr>
              <w:t xml:space="preserve">Econ plus dal: </w:t>
            </w:r>
            <w:r>
              <w:t xml:space="preserve"> </w:t>
            </w:r>
            <w:hyperlink r:id="rId11" w:history="1">
              <w:proofErr w:type="spellStart"/>
              <w:r>
                <w:rPr>
                  <w:rStyle w:val="Hyperlink"/>
                </w:rPr>
                <w:t>EconplusDal</w:t>
              </w:r>
              <w:proofErr w:type="spellEnd"/>
              <w:r>
                <w:rPr>
                  <w:rStyle w:val="Hyperlink"/>
                </w:rPr>
                <w:t xml:space="preserve"> - YouTube</w:t>
              </w:r>
            </w:hyperlink>
          </w:p>
          <w:p w14:paraId="2C261557" w14:textId="77777777" w:rsidR="007C41AC" w:rsidRDefault="007C41AC" w:rsidP="007C41AC">
            <w:pPr>
              <w:rPr>
                <w:rFonts w:cstheme="minorHAnsi"/>
                <w:b/>
                <w:bCs/>
                <w:color w:val="522A5B"/>
                <w:sz w:val="24"/>
                <w:szCs w:val="24"/>
                <w:u w:val="single"/>
              </w:rPr>
            </w:pPr>
            <w:r>
              <w:rPr>
                <w:rFonts w:cstheme="minorHAnsi"/>
                <w:b/>
                <w:bCs/>
                <w:color w:val="522A5B"/>
                <w:sz w:val="24"/>
                <w:szCs w:val="24"/>
                <w:u w:val="single"/>
              </w:rPr>
              <w:t xml:space="preserve">Bloomberg: </w:t>
            </w:r>
            <w:r>
              <w:t xml:space="preserve"> </w:t>
            </w:r>
            <w:hyperlink r:id="rId12" w:history="1">
              <w:r>
                <w:rPr>
                  <w:rStyle w:val="Hyperlink"/>
                </w:rPr>
                <w:t>Bloomberg.com</w:t>
              </w:r>
            </w:hyperlink>
          </w:p>
          <w:p w14:paraId="4C0D7E00" w14:textId="77777777" w:rsidR="007C41AC" w:rsidRDefault="007C41AC" w:rsidP="007C41AC">
            <w:pPr>
              <w:rPr>
                <w:rFonts w:cstheme="minorHAnsi"/>
                <w:b/>
                <w:bCs/>
                <w:color w:val="522A5B"/>
                <w:sz w:val="24"/>
                <w:szCs w:val="24"/>
                <w:u w:val="single"/>
              </w:rPr>
            </w:pPr>
            <w:r>
              <w:rPr>
                <w:rFonts w:cstheme="minorHAnsi"/>
                <w:b/>
                <w:bCs/>
                <w:color w:val="522A5B"/>
                <w:sz w:val="24"/>
                <w:szCs w:val="24"/>
                <w:u w:val="single"/>
              </w:rPr>
              <w:t xml:space="preserve">BBC news: </w:t>
            </w:r>
            <w:r>
              <w:t xml:space="preserve"> </w:t>
            </w:r>
            <w:hyperlink r:id="rId13" w:history="1">
              <w:r>
                <w:rPr>
                  <w:rStyle w:val="Hyperlink"/>
                </w:rPr>
                <w:t>Business - BBC News</w:t>
              </w:r>
            </w:hyperlink>
          </w:p>
          <w:p w14:paraId="3CA7A635" w14:textId="77777777" w:rsidR="007C41AC" w:rsidRPr="00F9765D" w:rsidRDefault="007C41AC" w:rsidP="007C41AC">
            <w:pPr>
              <w:rPr>
                <w:rFonts w:cstheme="minorHAnsi"/>
                <w:b/>
                <w:bCs/>
                <w:color w:val="522A5B"/>
                <w:sz w:val="24"/>
                <w:szCs w:val="24"/>
                <w:u w:val="single"/>
              </w:rPr>
            </w:pPr>
            <w:r>
              <w:rPr>
                <w:rFonts w:cstheme="minorHAnsi"/>
                <w:b/>
                <w:bCs/>
                <w:color w:val="522A5B"/>
                <w:sz w:val="24"/>
                <w:szCs w:val="24"/>
                <w:u w:val="single"/>
              </w:rPr>
              <w:t xml:space="preserve">Tutor 2u: </w:t>
            </w:r>
            <w:r>
              <w:t xml:space="preserve"> </w:t>
            </w:r>
            <w:hyperlink r:id="rId14" w:anchor="e" w:history="1">
              <w:r>
                <w:rPr>
                  <w:rStyle w:val="Hyperlink"/>
                </w:rPr>
                <w:t>tutor2u | A-Level, GCSE &amp; vocational qualification support resources</w:t>
              </w:r>
            </w:hyperlink>
          </w:p>
          <w:p w14:paraId="001E2D6F" w14:textId="41BB99FD" w:rsidR="008E39B4" w:rsidRPr="001F7779" w:rsidRDefault="008E39B4" w:rsidP="00FE54CF">
            <w:pPr>
              <w:rPr>
                <w:rFonts w:cstheme="minorHAnsi"/>
                <w:color w:val="000000" w:themeColor="text1"/>
              </w:rPr>
            </w:pP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641C685F" w14:textId="7C228009" w:rsidR="008E39B4" w:rsidRPr="001F7779" w:rsidRDefault="001F7779" w:rsidP="00FE54CF">
            <w:pPr>
              <w:rPr>
                <w:rFonts w:cstheme="minorHAnsi"/>
                <w:bCs/>
                <w:color w:val="000000" w:themeColor="text1"/>
              </w:rPr>
            </w:pPr>
            <w:r w:rsidRPr="001F7779">
              <w:rPr>
                <w:rFonts w:cstheme="minorHAnsi"/>
                <w:bCs/>
                <w:color w:val="000000" w:themeColor="text1"/>
              </w:rPr>
              <w:t xml:space="preserve">Regular retrieval and formative assessment in lessons, mainly multiple choice. </w:t>
            </w:r>
            <w:r w:rsidR="005D49C7">
              <w:rPr>
                <w:rFonts w:cstheme="minorHAnsi"/>
                <w:bCs/>
                <w:color w:val="000000" w:themeColor="text1"/>
              </w:rPr>
              <w:t>Students w</w:t>
            </w:r>
            <w:r w:rsidRPr="001F7779">
              <w:rPr>
                <w:rFonts w:cstheme="minorHAnsi"/>
                <w:bCs/>
                <w:color w:val="000000" w:themeColor="text1"/>
              </w:rPr>
              <w:t xml:space="preserve">ill also complete </w:t>
            </w:r>
            <w:r w:rsidR="005D49C7">
              <w:rPr>
                <w:rFonts w:cstheme="minorHAnsi"/>
                <w:bCs/>
                <w:color w:val="000000" w:themeColor="text1"/>
              </w:rPr>
              <w:t>essay style questions.</w:t>
            </w:r>
          </w:p>
          <w:p w14:paraId="5AA3A0AB" w14:textId="77777777" w:rsidR="00811F13" w:rsidRPr="00811F13" w:rsidRDefault="00811F13" w:rsidP="00FE54CF">
            <w:pPr>
              <w:rPr>
                <w:rFonts w:cstheme="minorHAnsi"/>
                <w:b/>
                <w:bCs/>
                <w:color w:val="000000" w:themeColor="text1"/>
                <w:sz w:val="20"/>
                <w:szCs w:val="20"/>
                <w:u w:val="single"/>
              </w:rPr>
            </w:pP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7C41AC" w:rsidP="008E39B4"/>
    <w:sectPr w:rsidR="0053445E" w:rsidSect="00A23F4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glydyArialMT">
    <w:altName w:val="Calibri"/>
    <w:panose1 w:val="00000000000000000000"/>
    <w:charset w:val="00"/>
    <w:family w:val="auto"/>
    <w:notTrueType/>
    <w:pitch w:val="default"/>
    <w:sig w:usb0="00000003" w:usb1="00000000" w:usb2="00000000" w:usb3="00000000" w:csb0="00000001" w:csb1="00000000"/>
  </w:font>
  <w:font w:name="TspgfgAQAChevinPro-Medium">
    <w:altName w:val="Calibri"/>
    <w:panose1 w:val="00000000000000000000"/>
    <w:charset w:val="00"/>
    <w:family w:val="auto"/>
    <w:notTrueType/>
    <w:pitch w:val="default"/>
    <w:sig w:usb0="00000003" w:usb1="00000000" w:usb2="00000000" w:usb3="00000000" w:csb0="00000001" w:csb1="00000000"/>
  </w:font>
  <w:font w:name="WdwxbnAQAChevinPro-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1131DC"/>
    <w:multiLevelType w:val="multilevel"/>
    <w:tmpl w:val="02224ACC"/>
    <w:lvl w:ilvl="0">
      <w:start w:val="1"/>
      <w:numFmt w:val="decimal"/>
      <w:lvlText w:val="%1"/>
      <w:lvlJc w:val="left"/>
      <w:pPr>
        <w:ind w:left="495" w:hanging="495"/>
      </w:pPr>
      <w:rPr>
        <w:rFonts w:hint="default"/>
      </w:rPr>
    </w:lvl>
    <w:lvl w:ilvl="1">
      <w:start w:val="1"/>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1F7779"/>
    <w:rsid w:val="002B0167"/>
    <w:rsid w:val="003455DA"/>
    <w:rsid w:val="003E6B6F"/>
    <w:rsid w:val="00440E6C"/>
    <w:rsid w:val="00487E07"/>
    <w:rsid w:val="004B17FA"/>
    <w:rsid w:val="005D49C7"/>
    <w:rsid w:val="005F4E99"/>
    <w:rsid w:val="00631D5E"/>
    <w:rsid w:val="0070384C"/>
    <w:rsid w:val="007146EF"/>
    <w:rsid w:val="007C41AC"/>
    <w:rsid w:val="00804340"/>
    <w:rsid w:val="00811F13"/>
    <w:rsid w:val="0083335D"/>
    <w:rsid w:val="00847F4E"/>
    <w:rsid w:val="00867D25"/>
    <w:rsid w:val="008A6FC2"/>
    <w:rsid w:val="008B1952"/>
    <w:rsid w:val="008E39B4"/>
    <w:rsid w:val="00A23F48"/>
    <w:rsid w:val="00A314F1"/>
    <w:rsid w:val="00B47DF2"/>
    <w:rsid w:val="00BA646E"/>
    <w:rsid w:val="00C068EB"/>
    <w:rsid w:val="00C1340F"/>
    <w:rsid w:val="00C67435"/>
    <w:rsid w:val="00CA59AB"/>
    <w:rsid w:val="00D331C4"/>
    <w:rsid w:val="00DB0006"/>
    <w:rsid w:val="00DC23A5"/>
    <w:rsid w:val="00E5371A"/>
    <w:rsid w:val="00E64F4C"/>
    <w:rsid w:val="00F43D58"/>
    <w:rsid w:val="00F8187A"/>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omberg.com/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user/EconplusD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tor2u.net/economics/top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3" ma:contentTypeDescription="Create a new document." ma:contentTypeScope="" ma:versionID="f67e1597ec4c91370247b55fcd2b836a">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155a3309fc9913c9b1b29089f0dce94"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43A-64FC-4A79-A7E7-F66FE57D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a97-f46f-4a86-bd9b-809e86dd0d65"/>
    <ds:schemaRef ds:uri="069cf267-c0bd-49c7-8dea-4928a3e49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87D616-6BFE-4153-9164-FDFD05D3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TPerry</cp:lastModifiedBy>
  <cp:revision>3</cp:revision>
  <dcterms:created xsi:type="dcterms:W3CDTF">2022-06-21T12:18:00Z</dcterms:created>
  <dcterms:modified xsi:type="dcterms:W3CDTF">2022-07-01T11:59:00Z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ies>
</file>